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759B3" w14:textId="0196370B" w:rsidR="00583A3B" w:rsidRPr="00583A3B" w:rsidRDefault="00583A3B" w:rsidP="00583A3B">
      <w:pPr>
        <w:shd w:val="clear" w:color="auto" w:fill="FFFFFF"/>
        <w:spacing w:after="0" w:line="240" w:lineRule="auto"/>
        <w:outlineLvl w:val="0"/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BE"/>
        </w:rPr>
      </w:pPr>
      <w:r w:rsidRPr="00583A3B"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BE"/>
        </w:rPr>
        <w:t>Argus des Métaux</w:t>
      </w:r>
      <w:r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BE"/>
        </w:rPr>
        <w:t>, e</w:t>
      </w:r>
      <w:r w:rsidRPr="00583A3B"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BE"/>
        </w:rPr>
        <w:t>n retrait sur la séance ; en hausse sur la semaine</w:t>
      </w:r>
    </w:p>
    <w:p w14:paraId="1AD58083" w14:textId="77777777" w:rsidR="00583A3B" w:rsidRDefault="00583A3B" w:rsidP="00583A3B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i/>
          <w:iCs/>
          <w:color w:val="000000"/>
          <w:sz w:val="23"/>
          <w:szCs w:val="23"/>
          <w:lang w:eastAsia="fr-BE"/>
        </w:rPr>
      </w:pPr>
    </w:p>
    <w:p w14:paraId="1A3465DF" w14:textId="5AAF86DC" w:rsidR="00583A3B" w:rsidRPr="00583A3B" w:rsidRDefault="00583A3B" w:rsidP="00583A3B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</w:pPr>
      <w:r w:rsidRPr="00583A3B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>Le </w:t>
      </w:r>
      <w:r w:rsidRPr="00583A3B">
        <w:rPr>
          <w:rFonts w:ascii="Lato" w:eastAsia="Times New Roman" w:hAnsi="Lato" w:cs="Times New Roman"/>
          <w:color w:val="000000"/>
          <w:sz w:val="23"/>
          <w:szCs w:val="23"/>
          <w:u w:val="single"/>
          <w:lang w:eastAsia="fr-BE"/>
        </w:rPr>
        <w:t>cuivre</w:t>
      </w:r>
      <w:r w:rsidRPr="00583A3B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> fléchissait en ce début d’après-midi, après l’envolée de ces dernières heures réalisée à la perspective que l’inflation pourrait avoir atteint son pic aux Etats-Unis. Le métal rouge devrait tout de même sceller la semaine sur une progression de l’ordre de 3,5%. La bonne humeur du marché tient également à la publication ce jour des chiffres de la production industrielle européenne qui a montré en juillet une progression trois fois plus importante que prévu : elle est ressortie en hausse de 0,7%, contre 0,2% attendu.  Plus largement, les marchés financiers connaissent également une embellie ; ils vont inscrire leur quatrième semaine de hausse consécutive. Sur la séance, le </w:t>
      </w:r>
      <w:r w:rsidRPr="00583A3B">
        <w:rPr>
          <w:rFonts w:ascii="Lato" w:eastAsia="Times New Roman" w:hAnsi="Lato" w:cs="Times New Roman"/>
          <w:color w:val="000000"/>
          <w:sz w:val="23"/>
          <w:szCs w:val="23"/>
          <w:u w:val="single"/>
          <w:lang w:eastAsia="fr-BE"/>
        </w:rPr>
        <w:t>cuivre</w:t>
      </w:r>
      <w:r w:rsidRPr="00583A3B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> montre actuellement un recul de 0,4% à 8.144 $/t. « </w:t>
      </w:r>
      <w:r w:rsidRPr="00583A3B">
        <w:rPr>
          <w:rFonts w:ascii="Lato" w:eastAsia="Times New Roman" w:hAnsi="Lato" w:cs="Times New Roman"/>
          <w:i/>
          <w:iCs/>
          <w:color w:val="000000"/>
          <w:sz w:val="23"/>
          <w:szCs w:val="23"/>
          <w:lang w:eastAsia="fr-BE"/>
        </w:rPr>
        <w:t>Le rebond, significatif, s’est fait au travers d’opérations de couvertures de positions courtes et d’un regain d’appétit pour les actifs risqués </w:t>
      </w:r>
      <w:r w:rsidRPr="00583A3B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 xml:space="preserve">», constate Robin </w:t>
      </w:r>
      <w:proofErr w:type="spellStart"/>
      <w:r w:rsidRPr="00583A3B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>Bhar</w:t>
      </w:r>
      <w:proofErr w:type="spellEnd"/>
      <w:r w:rsidRPr="00583A3B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>, analyste indépendant. « </w:t>
      </w:r>
      <w:r w:rsidRPr="00583A3B">
        <w:rPr>
          <w:rFonts w:ascii="Lato" w:eastAsia="Times New Roman" w:hAnsi="Lato" w:cs="Times New Roman"/>
          <w:i/>
          <w:iCs/>
          <w:color w:val="000000"/>
          <w:sz w:val="23"/>
          <w:szCs w:val="23"/>
          <w:lang w:eastAsia="fr-BE"/>
        </w:rPr>
        <w:t>La crainte de récession demeure mais elle a été absorbée par le marché </w:t>
      </w:r>
      <w:r w:rsidRPr="00583A3B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>», poursuit-il.</w:t>
      </w:r>
    </w:p>
    <w:p w14:paraId="6734EECE" w14:textId="77777777" w:rsidR="00583A3B" w:rsidRPr="00583A3B" w:rsidRDefault="00583A3B" w:rsidP="00583A3B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</w:pPr>
      <w:r w:rsidRPr="00583A3B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>Les progressions hebdomadaires pour les autres métaux s’inscrivent entre 2,5% et 7%. Sur l’ensemble de la matinée, les autres métaux inscrivent des pertes qui s’échelonnent de 0,4% pour le </w:t>
      </w:r>
      <w:r w:rsidRPr="00583A3B">
        <w:rPr>
          <w:rFonts w:ascii="Lato" w:eastAsia="Times New Roman" w:hAnsi="Lato" w:cs="Times New Roman"/>
          <w:color w:val="000000"/>
          <w:sz w:val="23"/>
          <w:szCs w:val="23"/>
          <w:u w:val="single"/>
          <w:lang w:eastAsia="fr-BE"/>
        </w:rPr>
        <w:t>plomb</w:t>
      </w:r>
      <w:r w:rsidRPr="00583A3B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>, à 2.189 $/t, à 1,6% pour le </w:t>
      </w:r>
      <w:r w:rsidRPr="00583A3B">
        <w:rPr>
          <w:rFonts w:ascii="Lato" w:eastAsia="Times New Roman" w:hAnsi="Lato" w:cs="Times New Roman"/>
          <w:color w:val="000000"/>
          <w:sz w:val="23"/>
          <w:szCs w:val="23"/>
          <w:u w:val="single"/>
          <w:lang w:eastAsia="fr-BE"/>
        </w:rPr>
        <w:t>zinc</w:t>
      </w:r>
      <w:r w:rsidRPr="00583A3B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>, à 3.629 $/t. Seul le </w:t>
      </w:r>
      <w:r w:rsidRPr="00583A3B">
        <w:rPr>
          <w:rFonts w:ascii="Lato" w:eastAsia="Times New Roman" w:hAnsi="Lato" w:cs="Times New Roman"/>
          <w:color w:val="000000"/>
          <w:sz w:val="23"/>
          <w:szCs w:val="23"/>
          <w:u w:val="single"/>
          <w:lang w:eastAsia="fr-BE"/>
        </w:rPr>
        <w:t>nickel</w:t>
      </w:r>
      <w:r w:rsidRPr="00583A3B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> parvient à garder la tête hors de l’eau : il progresse de 0,5% à 23.780 $/t.</w:t>
      </w:r>
    </w:p>
    <w:p w14:paraId="74BA4A05" w14:textId="77777777" w:rsidR="00583A3B" w:rsidRPr="00583A3B" w:rsidRDefault="00583A3B" w:rsidP="00583A3B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</w:pPr>
      <w:r w:rsidRPr="00583A3B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>La tendance est identique pour l’</w:t>
      </w:r>
      <w:r w:rsidRPr="00583A3B">
        <w:rPr>
          <w:rFonts w:ascii="Lato" w:eastAsia="Times New Roman" w:hAnsi="Lato" w:cs="Times New Roman"/>
          <w:color w:val="000000"/>
          <w:sz w:val="23"/>
          <w:szCs w:val="23"/>
          <w:u w:val="single"/>
          <w:lang w:eastAsia="fr-BE"/>
        </w:rPr>
        <w:t>or</w:t>
      </w:r>
      <w:r w:rsidRPr="00583A3B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> qui, sur la séance, enregistre pour l’heure une contraction de -0,2% (à 1.786 $/once) alors qu’il devrait conclure la semaine sur sa 4</w:t>
      </w:r>
      <w:r w:rsidRPr="00583A3B">
        <w:rPr>
          <w:rFonts w:ascii="Lato" w:eastAsia="Times New Roman" w:hAnsi="Lato" w:cs="Times New Roman"/>
          <w:color w:val="000000"/>
          <w:sz w:val="23"/>
          <w:szCs w:val="23"/>
          <w:vertAlign w:val="superscript"/>
          <w:lang w:eastAsia="fr-BE"/>
        </w:rPr>
        <w:t>ème</w:t>
      </w:r>
      <w:r w:rsidRPr="00583A3B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> hausse hebdomadaire. « </w:t>
      </w:r>
      <w:r w:rsidRPr="00583A3B">
        <w:rPr>
          <w:rFonts w:ascii="Lato" w:eastAsia="Times New Roman" w:hAnsi="Lato" w:cs="Times New Roman"/>
          <w:i/>
          <w:iCs/>
          <w:color w:val="000000"/>
          <w:sz w:val="23"/>
          <w:szCs w:val="23"/>
          <w:lang w:eastAsia="fr-BE"/>
        </w:rPr>
        <w:t>L’or est délaissé au profit des actifs risqués </w:t>
      </w:r>
      <w:r w:rsidRPr="00583A3B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 xml:space="preserve">», explique Craig </w:t>
      </w:r>
      <w:proofErr w:type="spellStart"/>
      <w:r w:rsidRPr="00583A3B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>Erlam</w:t>
      </w:r>
      <w:proofErr w:type="spellEnd"/>
      <w:r w:rsidRPr="00583A3B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>, de OANDA.</w:t>
      </w:r>
    </w:p>
    <w:p w14:paraId="4DE10C2C" w14:textId="77777777" w:rsidR="00E12968" w:rsidRDefault="00E12968"/>
    <w:sectPr w:rsidR="00E12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A3B"/>
    <w:rsid w:val="00583A3B"/>
    <w:rsid w:val="00E1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1FD0B"/>
  <w15:chartTrackingRefBased/>
  <w15:docId w15:val="{2C6CC672-D055-43A2-9F8A-458534769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8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Klinck</dc:creator>
  <cp:keywords/>
  <dc:description/>
  <cp:lastModifiedBy>Sebastien Klinck</cp:lastModifiedBy>
  <cp:revision>1</cp:revision>
  <dcterms:created xsi:type="dcterms:W3CDTF">2022-08-15T13:29:00Z</dcterms:created>
  <dcterms:modified xsi:type="dcterms:W3CDTF">2022-08-15T13:29:00Z</dcterms:modified>
</cp:coreProperties>
</file>